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8F0620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6</w:t>
      </w:r>
      <w:bookmarkStart w:id="0" w:name="_GoBack"/>
      <w:bookmarkEnd w:id="0"/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1B767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606FC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606FC4" w:rsidRDefault="00A46656" w:rsidP="00606FC4">
      <w:pPr>
        <w:pStyle w:val="Tekstpodstawowy"/>
        <w:widowControl w:val="0"/>
        <w:numPr>
          <w:ilvl w:val="0"/>
          <w:numId w:val="3"/>
        </w:numPr>
        <w:tabs>
          <w:tab w:val="left" w:pos="284"/>
        </w:tabs>
        <w:suppressAutoHyphens/>
        <w:spacing w:after="0" w:line="276" w:lineRule="auto"/>
        <w:ind w:left="284" w:hanging="284"/>
        <w:jc w:val="left"/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val="x-none" w:eastAsia="zh-CN"/>
        </w:rPr>
      </w:pPr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606FC4" w:rsidRPr="00606FC4">
        <w:rPr>
          <w:rFonts w:ascii="Arial" w:hAnsi="Arial" w:cs="Arial"/>
          <w:b/>
          <w:color w:val="1D1B11" w:themeColor="background2" w:themeShade="1A"/>
          <w:sz w:val="22"/>
          <w:szCs w:val="22"/>
        </w:rPr>
        <w:t xml:space="preserve">przeprowadzenie monitoringu stanu ochrony nietoperzy – liczenie zimowe - na terenie obszarów Natura 2000 Twierdza </w:t>
      </w:r>
      <w:proofErr w:type="spellStart"/>
      <w:r w:rsidR="00606FC4" w:rsidRPr="00606FC4">
        <w:rPr>
          <w:rFonts w:ascii="Arial" w:hAnsi="Arial" w:cs="Arial"/>
          <w:b/>
          <w:color w:val="1D1B11" w:themeColor="background2" w:themeShade="1A"/>
          <w:sz w:val="22"/>
          <w:szCs w:val="22"/>
        </w:rPr>
        <w:t>Wisłoujście</w:t>
      </w:r>
      <w:proofErr w:type="spellEnd"/>
      <w:r w:rsidR="00606FC4" w:rsidRPr="00606FC4">
        <w:rPr>
          <w:rFonts w:ascii="Arial" w:hAnsi="Arial" w:cs="Arial"/>
          <w:b/>
          <w:color w:val="1D1B11" w:themeColor="background2" w:themeShade="1A"/>
          <w:sz w:val="22"/>
          <w:szCs w:val="22"/>
        </w:rPr>
        <w:t xml:space="preserve"> PLH 220030 i Bunkier w Oliwie PLH 220055</w:t>
      </w:r>
      <w:r w:rsidR="00606FC4" w:rsidRPr="00606FC4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W związku z powyższym oświadczam, że nie podlegam wykluczeniu z postępowania na podstawie art. 7 ust. 1 pkt 1-3 ustawy z dnia 13 kwietnia 2022 r. o szczególnych 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rozwiązaniach w zakresie przeciwdziałania wspieraniu agresji na Ukrainę oraz służących ochronie bezpieczeństwa narodowego (Dz.U. 2022 poz.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6FC4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8F0620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12</cp:revision>
  <cp:lastPrinted>2022-09-14T09:37:00Z</cp:lastPrinted>
  <dcterms:created xsi:type="dcterms:W3CDTF">2022-05-09T09:09:00Z</dcterms:created>
  <dcterms:modified xsi:type="dcterms:W3CDTF">2023-01-16T11:18:00Z</dcterms:modified>
</cp:coreProperties>
</file>